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9437" w14:textId="40C83783" w:rsidR="00810C23" w:rsidRPr="00016810" w:rsidRDefault="00810C23" w:rsidP="00810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810">
        <w:rPr>
          <w:rFonts w:ascii="Times New Roman" w:hAnsi="Times New Roman" w:cs="Times New Roman"/>
          <w:b/>
          <w:bCs/>
          <w:sz w:val="24"/>
          <w:szCs w:val="24"/>
        </w:rPr>
        <w:t>CAUSE DI ESONERO DALLA FREQUENZA DEI CORSI OBBLIGATORI</w:t>
      </w:r>
    </w:p>
    <w:p w14:paraId="5C066532" w14:textId="2CE32326" w:rsidR="00810C23" w:rsidRPr="00016810" w:rsidRDefault="00810C23" w:rsidP="00810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810">
        <w:rPr>
          <w:rFonts w:ascii="Times New Roman" w:hAnsi="Times New Roman" w:cs="Times New Roman"/>
          <w:b/>
          <w:bCs/>
          <w:sz w:val="24"/>
          <w:szCs w:val="24"/>
        </w:rPr>
        <w:t>PER CONTEMPORANEA ATTIVITA’ DI TIROCINIO EX ART.73 DL 69/2019</w:t>
      </w:r>
    </w:p>
    <w:p w14:paraId="20C8390E" w14:textId="6BB44C13" w:rsidR="009656C9" w:rsidRPr="00016810" w:rsidRDefault="009656C9" w:rsidP="00810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810">
        <w:rPr>
          <w:rFonts w:ascii="Times New Roman" w:hAnsi="Times New Roman" w:cs="Times New Roman"/>
          <w:b/>
          <w:bCs/>
          <w:sz w:val="24"/>
          <w:szCs w:val="24"/>
        </w:rPr>
        <w:t>O FREQUENZA DELLA SCUOLA SUPERIORE DELLE PROFESSIONI LEGALI</w:t>
      </w:r>
    </w:p>
    <w:p w14:paraId="732067EA" w14:textId="128FD735" w:rsidR="006B2DC7" w:rsidRDefault="006B2DC7" w:rsidP="006B2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questione è già stata affrontata e risolta dal CNF, che, chiamato ad esprimersi sull’istanza </w:t>
      </w:r>
      <w:r w:rsidR="005F21B4" w:rsidRPr="006B2DC7">
        <w:rPr>
          <w:rFonts w:ascii="Times New Roman" w:hAnsi="Times New Roman" w:cs="Times New Roman"/>
          <w:sz w:val="28"/>
          <w:szCs w:val="28"/>
        </w:rPr>
        <w:t xml:space="preserve">dell’Ordine degli Avvocati di Napoli e dell’Unione </w:t>
      </w:r>
      <w:r>
        <w:rPr>
          <w:rFonts w:ascii="Times New Roman" w:hAnsi="Times New Roman" w:cs="Times New Roman"/>
          <w:sz w:val="28"/>
          <w:szCs w:val="28"/>
        </w:rPr>
        <w:t>D</w:t>
      </w:r>
      <w:r w:rsidR="005F21B4" w:rsidRPr="006B2DC7">
        <w:rPr>
          <w:rFonts w:ascii="Times New Roman" w:hAnsi="Times New Roman" w:cs="Times New Roman"/>
          <w:sz w:val="28"/>
          <w:szCs w:val="28"/>
        </w:rPr>
        <w:t>istrettuale della Lombardia</w:t>
      </w:r>
      <w:r w:rsidR="009656C9">
        <w:rPr>
          <w:rFonts w:ascii="Times New Roman" w:hAnsi="Times New Roman" w:cs="Times New Roman"/>
          <w:sz w:val="28"/>
          <w:szCs w:val="28"/>
        </w:rPr>
        <w:t xml:space="preserve">, ha così risposto ai relativi </w:t>
      </w:r>
      <w:r>
        <w:rPr>
          <w:rFonts w:ascii="Times New Roman" w:hAnsi="Times New Roman" w:cs="Times New Roman"/>
          <w:sz w:val="28"/>
          <w:szCs w:val="28"/>
        </w:rPr>
        <w:t>quesiti:</w:t>
      </w:r>
    </w:p>
    <w:p w14:paraId="49AE126C" w14:textId="77777777" w:rsidR="00AF3FDC" w:rsidRDefault="005F21B4" w:rsidP="00AF3FD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FDC">
        <w:rPr>
          <w:rFonts w:ascii="Times New Roman" w:hAnsi="Times New Roman" w:cs="Times New Roman"/>
          <w:b/>
          <w:bCs/>
          <w:sz w:val="28"/>
          <w:szCs w:val="28"/>
        </w:rPr>
        <w:t>si chiede di sapere se la frequenza del tirocinio presso gli uffici giudiziari ai sensi dell’art. 73 del d.l. 69/2019 possa costituire causa di esonero dalla frequenza dei suddetti corsi</w:t>
      </w:r>
      <w:r w:rsidRPr="00AF3F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477F2" w14:textId="77777777" w:rsidR="00810C23" w:rsidRDefault="005F21B4" w:rsidP="00876A5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AF3FDC">
        <w:rPr>
          <w:rFonts w:ascii="Times New Roman" w:hAnsi="Times New Roman" w:cs="Times New Roman"/>
          <w:b/>
          <w:bCs/>
          <w:sz w:val="28"/>
          <w:szCs w:val="28"/>
        </w:rPr>
        <w:t>La risposata è negativa</w:t>
      </w:r>
      <w:r w:rsidRPr="00AF3FDC">
        <w:rPr>
          <w:rFonts w:ascii="Times New Roman" w:hAnsi="Times New Roman" w:cs="Times New Roman"/>
          <w:sz w:val="28"/>
          <w:szCs w:val="28"/>
        </w:rPr>
        <w:t xml:space="preserve">. </w:t>
      </w:r>
      <w:r w:rsidR="00AF3FDC">
        <w:rPr>
          <w:rFonts w:ascii="Times New Roman" w:hAnsi="Times New Roman" w:cs="Times New Roman"/>
          <w:sz w:val="28"/>
          <w:szCs w:val="28"/>
        </w:rPr>
        <w:t xml:space="preserve">Il DM </w:t>
      </w:r>
      <w:r w:rsidRPr="00AF3FDC">
        <w:rPr>
          <w:rFonts w:ascii="Times New Roman" w:hAnsi="Times New Roman" w:cs="Times New Roman"/>
          <w:sz w:val="28"/>
          <w:szCs w:val="28"/>
        </w:rPr>
        <w:t>n. 17/2018</w:t>
      </w:r>
      <w:r w:rsidR="00AF3FDC">
        <w:rPr>
          <w:rFonts w:ascii="Times New Roman" w:hAnsi="Times New Roman" w:cs="Times New Roman"/>
          <w:sz w:val="28"/>
          <w:szCs w:val="28"/>
        </w:rPr>
        <w:t xml:space="preserve">, infatti, </w:t>
      </w:r>
      <w:r w:rsidRPr="00AF3FDC">
        <w:rPr>
          <w:rFonts w:ascii="Times New Roman" w:hAnsi="Times New Roman" w:cs="Times New Roman"/>
          <w:sz w:val="28"/>
          <w:szCs w:val="28"/>
        </w:rPr>
        <w:t>non prevede alcuna causa di esonero dalla frequenza dei corsi per i praticanti che svolgano o abbiano svolto il periodo di tirocinio presso gli uffici giudiziari ex art. 73. Del d.l. n. 69/2013</w:t>
      </w:r>
      <w:r w:rsidR="00AF3FDC">
        <w:rPr>
          <w:rFonts w:ascii="Times New Roman" w:hAnsi="Times New Roman" w:cs="Times New Roman"/>
          <w:sz w:val="28"/>
          <w:szCs w:val="28"/>
        </w:rPr>
        <w:t>.</w:t>
      </w:r>
      <w:r w:rsidR="00876A55">
        <w:rPr>
          <w:rFonts w:ascii="Times New Roman" w:hAnsi="Times New Roman" w:cs="Times New Roman"/>
          <w:sz w:val="28"/>
          <w:szCs w:val="28"/>
        </w:rPr>
        <w:t xml:space="preserve"> </w:t>
      </w:r>
      <w:r w:rsidR="00AF3FDC">
        <w:rPr>
          <w:rFonts w:ascii="Times New Roman" w:hAnsi="Times New Roman" w:cs="Times New Roman"/>
          <w:sz w:val="28"/>
          <w:szCs w:val="28"/>
        </w:rPr>
        <w:t>Sicché,</w:t>
      </w:r>
      <w:r w:rsidRPr="00AF3FDC">
        <w:rPr>
          <w:rFonts w:ascii="Times New Roman" w:hAnsi="Times New Roman" w:cs="Times New Roman"/>
          <w:sz w:val="28"/>
          <w:szCs w:val="28"/>
        </w:rPr>
        <w:t xml:space="preserve"> per poter ottenere il certificato di compiuta pratica, </w:t>
      </w:r>
      <w:r w:rsidR="00AF3FDC">
        <w:rPr>
          <w:rFonts w:ascii="Times New Roman" w:hAnsi="Times New Roman" w:cs="Times New Roman"/>
          <w:sz w:val="28"/>
          <w:szCs w:val="28"/>
        </w:rPr>
        <w:t xml:space="preserve">i praticanti </w:t>
      </w:r>
      <w:r w:rsidRPr="00AF3FDC">
        <w:rPr>
          <w:rFonts w:ascii="Times New Roman" w:hAnsi="Times New Roman" w:cs="Times New Roman"/>
          <w:sz w:val="28"/>
          <w:szCs w:val="28"/>
        </w:rPr>
        <w:t>devono svolgere tali corsi, eventualmente secondo le modalità concordate tra il COA e l’</w:t>
      </w:r>
      <w:r w:rsidR="00876A55">
        <w:rPr>
          <w:rFonts w:ascii="Times New Roman" w:hAnsi="Times New Roman" w:cs="Times New Roman"/>
          <w:sz w:val="28"/>
          <w:szCs w:val="28"/>
        </w:rPr>
        <w:t>U</w:t>
      </w:r>
      <w:r w:rsidRPr="00AF3FDC">
        <w:rPr>
          <w:rFonts w:ascii="Times New Roman" w:hAnsi="Times New Roman" w:cs="Times New Roman"/>
          <w:sz w:val="28"/>
          <w:szCs w:val="28"/>
        </w:rPr>
        <w:t xml:space="preserve">fficio </w:t>
      </w:r>
      <w:r w:rsidR="00876A55">
        <w:rPr>
          <w:rFonts w:ascii="Times New Roman" w:hAnsi="Times New Roman" w:cs="Times New Roman"/>
          <w:sz w:val="28"/>
          <w:szCs w:val="28"/>
        </w:rPr>
        <w:t>G</w:t>
      </w:r>
      <w:r w:rsidRPr="00AF3FDC">
        <w:rPr>
          <w:rFonts w:ascii="Times New Roman" w:hAnsi="Times New Roman" w:cs="Times New Roman"/>
          <w:sz w:val="28"/>
          <w:szCs w:val="28"/>
        </w:rPr>
        <w:t>iudiziario</w:t>
      </w:r>
      <w:r w:rsidR="00876A55">
        <w:rPr>
          <w:rFonts w:ascii="Times New Roman" w:hAnsi="Times New Roman" w:cs="Times New Roman"/>
          <w:sz w:val="28"/>
          <w:szCs w:val="28"/>
        </w:rPr>
        <w:t xml:space="preserve"> interessato. </w:t>
      </w:r>
    </w:p>
    <w:p w14:paraId="630C983A" w14:textId="70583F0E" w:rsidR="00876A55" w:rsidRDefault="00810C23" w:rsidP="001936CE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876A55" w:rsidRPr="006B2DC7">
        <w:rPr>
          <w:rFonts w:ascii="Times New Roman" w:hAnsi="Times New Roman" w:cs="Times New Roman"/>
          <w:sz w:val="28"/>
          <w:szCs w:val="28"/>
        </w:rPr>
        <w:t>a durata dei corsi non potrà che rispecchiare quella del tirocinio che, in caso di convalida del periodo di tiroci</w:t>
      </w:r>
      <w:r>
        <w:rPr>
          <w:rFonts w:ascii="Times New Roman" w:hAnsi="Times New Roman" w:cs="Times New Roman"/>
          <w:sz w:val="28"/>
          <w:szCs w:val="28"/>
        </w:rPr>
        <w:t>n</w:t>
      </w:r>
      <w:r w:rsidR="00876A55" w:rsidRPr="006B2DC7">
        <w:rPr>
          <w:rFonts w:ascii="Times New Roman" w:hAnsi="Times New Roman" w:cs="Times New Roman"/>
          <w:sz w:val="28"/>
          <w:szCs w:val="28"/>
        </w:rPr>
        <w:t>io svolto presso l’ufficio giudiziario, ha la durata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C7">
        <w:rPr>
          <w:rFonts w:ascii="Times New Roman" w:hAnsi="Times New Roman" w:cs="Times New Roman"/>
          <w:sz w:val="28"/>
          <w:szCs w:val="28"/>
        </w:rPr>
        <w:t>di sei mesi</w:t>
      </w:r>
      <w:r>
        <w:rPr>
          <w:rFonts w:ascii="Times New Roman" w:hAnsi="Times New Roman" w:cs="Times New Roman"/>
          <w:sz w:val="28"/>
          <w:szCs w:val="28"/>
        </w:rPr>
        <w:t>, come predeterminata</w:t>
      </w:r>
      <w:r w:rsidR="001936CE">
        <w:rPr>
          <w:rFonts w:ascii="Times New Roman" w:hAnsi="Times New Roman" w:cs="Times New Roman"/>
          <w:sz w:val="28"/>
          <w:szCs w:val="28"/>
        </w:rPr>
        <w:t xml:space="preserve"> per legge.</w:t>
      </w:r>
    </w:p>
    <w:p w14:paraId="4972E3DD" w14:textId="598D21C8" w:rsidR="001936CE" w:rsidRDefault="001936CE" w:rsidP="001936CE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="009554B0">
        <w:rPr>
          <w:rFonts w:ascii="Times New Roman" w:hAnsi="Times New Roman" w:cs="Times New Roman"/>
          <w:sz w:val="28"/>
          <w:szCs w:val="28"/>
        </w:rPr>
        <w:t>precisa</w:t>
      </w:r>
      <w:r>
        <w:rPr>
          <w:rFonts w:ascii="Times New Roman" w:hAnsi="Times New Roman" w:cs="Times New Roman"/>
          <w:sz w:val="28"/>
          <w:szCs w:val="28"/>
        </w:rPr>
        <w:t>, inoltre</w:t>
      </w:r>
      <w:r w:rsidR="009554B0">
        <w:rPr>
          <w:rFonts w:ascii="Times New Roman" w:hAnsi="Times New Roman" w:cs="Times New Roman"/>
          <w:sz w:val="28"/>
          <w:szCs w:val="28"/>
        </w:rPr>
        <w:t>, che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BCAA07" w14:textId="77777777" w:rsidR="009554B0" w:rsidRDefault="001936CE" w:rsidP="009554B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4B0">
        <w:rPr>
          <w:rFonts w:ascii="Times New Roman" w:hAnsi="Times New Roman" w:cs="Times New Roman"/>
          <w:sz w:val="28"/>
          <w:szCs w:val="28"/>
        </w:rPr>
        <w:t xml:space="preserve">per i </w:t>
      </w:r>
      <w:r>
        <w:rPr>
          <w:rFonts w:ascii="Times New Roman" w:hAnsi="Times New Roman" w:cs="Times New Roman"/>
          <w:sz w:val="28"/>
          <w:szCs w:val="28"/>
        </w:rPr>
        <w:t>praticant</w:t>
      </w:r>
      <w:r w:rsidR="009554B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che abbia</w:t>
      </w:r>
      <w:r w:rsidR="009554B0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iniziato il tirocinio </w:t>
      </w:r>
      <w:r w:rsidRPr="00723B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prima del </w:t>
      </w:r>
      <w:proofErr w:type="gramStart"/>
      <w:r w:rsidRPr="00723B02">
        <w:rPr>
          <w:rFonts w:ascii="Times New Roman" w:hAnsi="Times New Roman" w:cs="Times New Roman"/>
          <w:b/>
          <w:bCs/>
          <w:sz w:val="28"/>
          <w:szCs w:val="28"/>
          <w:u w:val="single"/>
        </w:rPr>
        <w:t>1 aprile</w:t>
      </w:r>
      <w:proofErr w:type="gramEnd"/>
      <w:r w:rsidRPr="00723B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</w:t>
      </w:r>
      <w:r w:rsidR="0095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trova applicazione il regime previgente, secondo il quale il praticante svolge solo l’ultimo semestre di pratica (senza alcuna frequenza di corsi o scuole), così potendo ottenere il certificato di compiuta pratica per l’accesso all’esame di abilitazione alla sessione 2023;</w:t>
      </w:r>
    </w:p>
    <w:p w14:paraId="4CF66A92" w14:textId="39E1429A" w:rsidR="009554B0" w:rsidRPr="009554B0" w:rsidRDefault="009554B0" w:rsidP="009554B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4B0">
        <w:rPr>
          <w:rFonts w:ascii="Times New Roman" w:hAnsi="Times New Roman" w:cs="Times New Roman"/>
          <w:sz w:val="28"/>
          <w:szCs w:val="28"/>
        </w:rPr>
        <w:t xml:space="preserve">per i praticanti che abbiano iniziato il tirocinio </w:t>
      </w:r>
      <w:r w:rsidRPr="00723B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dopo il </w:t>
      </w:r>
      <w:proofErr w:type="gramStart"/>
      <w:r w:rsidRPr="00723B02">
        <w:rPr>
          <w:rFonts w:ascii="Times New Roman" w:hAnsi="Times New Roman" w:cs="Times New Roman"/>
          <w:b/>
          <w:bCs/>
          <w:sz w:val="28"/>
          <w:szCs w:val="28"/>
          <w:u w:val="single"/>
        </w:rPr>
        <w:t>1 aprile</w:t>
      </w:r>
      <w:proofErr w:type="gramEnd"/>
      <w:r w:rsidRPr="00723B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</w:t>
      </w:r>
      <w:r w:rsidRPr="009554B0">
        <w:rPr>
          <w:rFonts w:ascii="Times New Roman" w:hAnsi="Times New Roman" w:cs="Times New Roman"/>
          <w:sz w:val="28"/>
          <w:szCs w:val="28"/>
        </w:rPr>
        <w:t xml:space="preserve">, invece, trova applicazione il regime successivo, con la conseguenza che </w:t>
      </w:r>
      <w:r>
        <w:rPr>
          <w:rFonts w:ascii="Times New Roman" w:hAnsi="Times New Roman" w:cs="Times New Roman"/>
          <w:sz w:val="28"/>
          <w:szCs w:val="28"/>
        </w:rPr>
        <w:t xml:space="preserve">essi </w:t>
      </w:r>
      <w:r w:rsidRPr="009554B0">
        <w:rPr>
          <w:rFonts w:ascii="Times New Roman" w:hAnsi="Times New Roman" w:cs="Times New Roman"/>
          <w:sz w:val="28"/>
          <w:szCs w:val="28"/>
        </w:rPr>
        <w:t xml:space="preserve">sono obbligati a frequentare il corso. </w:t>
      </w:r>
    </w:p>
    <w:p w14:paraId="060308C6" w14:textId="2463304B" w:rsidR="00AF3FDC" w:rsidRPr="009554B0" w:rsidRDefault="004A4685" w:rsidP="009554B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4B0">
        <w:rPr>
          <w:rFonts w:ascii="Times New Roman" w:hAnsi="Times New Roman" w:cs="Times New Roman"/>
          <w:b/>
          <w:bCs/>
          <w:sz w:val="28"/>
          <w:szCs w:val="28"/>
        </w:rPr>
        <w:t>si richiede di sa</w:t>
      </w:r>
      <w:r w:rsidR="005F21B4" w:rsidRPr="009554B0">
        <w:rPr>
          <w:rFonts w:ascii="Times New Roman" w:hAnsi="Times New Roman" w:cs="Times New Roman"/>
          <w:b/>
          <w:bCs/>
          <w:sz w:val="28"/>
          <w:szCs w:val="28"/>
        </w:rPr>
        <w:t>pere se la frequenza della s</w:t>
      </w:r>
      <w:r w:rsidR="00135E3E" w:rsidRPr="009554B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F21B4" w:rsidRPr="009554B0">
        <w:rPr>
          <w:rFonts w:ascii="Times New Roman" w:hAnsi="Times New Roman" w:cs="Times New Roman"/>
          <w:b/>
          <w:bCs/>
          <w:sz w:val="28"/>
          <w:szCs w:val="28"/>
        </w:rPr>
        <w:t>uola di specializzazione per le professioni legali possa costituire causa di esonero dalla frequenza dei suddetti corsi</w:t>
      </w:r>
      <w:r w:rsidR="005F21B4" w:rsidRPr="009554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EC9E50" w14:textId="0DAF8FF1" w:rsidR="00AF3FDC" w:rsidRDefault="00AF3FDC" w:rsidP="00AF3FDC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 risposta è positiva</w:t>
      </w:r>
      <w:r w:rsidRPr="00AF3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B4" w:rsidRPr="00AF3FDC">
        <w:rPr>
          <w:rFonts w:ascii="Times New Roman" w:hAnsi="Times New Roman" w:cs="Times New Roman"/>
          <w:sz w:val="28"/>
          <w:szCs w:val="28"/>
        </w:rPr>
        <w:t xml:space="preserve">Sul punto si osserva che, sebbene la frequenza della Scuola non sia prevista ex professo quale causa di esonero, le Scuole di specializzazione </w:t>
      </w:r>
      <w:r w:rsidR="004A4685" w:rsidRPr="00AF3FDC">
        <w:rPr>
          <w:rFonts w:ascii="Times New Roman" w:hAnsi="Times New Roman" w:cs="Times New Roman"/>
          <w:sz w:val="28"/>
          <w:szCs w:val="28"/>
        </w:rPr>
        <w:t>sono annoverate tra i soggetti</w:t>
      </w:r>
      <w:r w:rsidR="008D035B" w:rsidRPr="00AF3FDC">
        <w:rPr>
          <w:rFonts w:ascii="Times New Roman" w:hAnsi="Times New Roman" w:cs="Times New Roman"/>
          <w:sz w:val="28"/>
          <w:szCs w:val="28"/>
        </w:rPr>
        <w:t xml:space="preserve"> erogatori dei corsi obbligatori. </w:t>
      </w:r>
      <w:r>
        <w:rPr>
          <w:rFonts w:ascii="Times New Roman" w:hAnsi="Times New Roman" w:cs="Times New Roman"/>
          <w:sz w:val="28"/>
          <w:szCs w:val="28"/>
        </w:rPr>
        <w:t xml:space="preserve">Ritenuta, pertanto, </w:t>
      </w:r>
      <w:r w:rsidR="008D035B" w:rsidRPr="00AF3FDC">
        <w:rPr>
          <w:rFonts w:ascii="Times New Roman" w:hAnsi="Times New Roman" w:cs="Times New Roman"/>
          <w:sz w:val="28"/>
          <w:szCs w:val="28"/>
        </w:rPr>
        <w:t>una equivalenza funzionale tra la frequenza della SSPL e la frequenza del corso obbligatorio, l’obbligo</w:t>
      </w:r>
      <w:r>
        <w:rPr>
          <w:rFonts w:ascii="Times New Roman" w:hAnsi="Times New Roman" w:cs="Times New Roman"/>
          <w:sz w:val="28"/>
          <w:szCs w:val="28"/>
        </w:rPr>
        <w:t xml:space="preserve"> di frequenza si ritiene, comunque, assolto</w:t>
      </w:r>
      <w:r w:rsidR="008D035B" w:rsidRPr="00AF3FDC">
        <w:rPr>
          <w:rFonts w:ascii="Times New Roman" w:hAnsi="Times New Roman" w:cs="Times New Roman"/>
          <w:sz w:val="28"/>
          <w:szCs w:val="28"/>
        </w:rPr>
        <w:t>;</w:t>
      </w:r>
    </w:p>
    <w:p w14:paraId="14A75E79" w14:textId="77777777" w:rsidR="00AF3FDC" w:rsidRDefault="008D035B" w:rsidP="00AF3FD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si chiede di sapere se i praticanti assunti presso l’Ufficio del processo siano esonerati o meno dall’obbligo di frequenza dei corsi</w:t>
      </w:r>
      <w:r w:rsidRPr="00AF3F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1BC3B6" w14:textId="7BD1F46B" w:rsidR="00AF3FDC" w:rsidRDefault="00AF3FDC" w:rsidP="00AF3FDC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 risposta è</w:t>
      </w:r>
      <w:r w:rsidR="009656C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6C9" w:rsidRPr="00FD065C">
        <w:rPr>
          <w:rFonts w:ascii="Times New Roman" w:hAnsi="Times New Roman" w:cs="Times New Roman"/>
          <w:b/>
          <w:bCs/>
          <w:sz w:val="28"/>
          <w:szCs w:val="28"/>
          <w:u w:val="single"/>
        </w:rPr>
        <w:t>positiva</w:t>
      </w:r>
      <w:r w:rsidR="009656C9">
        <w:rPr>
          <w:rFonts w:ascii="Times New Roman" w:hAnsi="Times New Roman" w:cs="Times New Roman"/>
          <w:b/>
          <w:bCs/>
          <w:sz w:val="28"/>
          <w:szCs w:val="28"/>
        </w:rPr>
        <w:t xml:space="preserve"> per i praticanti ammessi </w:t>
      </w:r>
      <w:r>
        <w:rPr>
          <w:rFonts w:ascii="Times New Roman" w:hAnsi="Times New Roman" w:cs="Times New Roman"/>
          <w:b/>
          <w:bCs/>
          <w:sz w:val="28"/>
          <w:szCs w:val="28"/>
        </w:rPr>
        <w:t>al patrocinio sostitutivo</w:t>
      </w:r>
      <w:r w:rsidR="009656C9">
        <w:rPr>
          <w:rFonts w:ascii="Times New Roman" w:hAnsi="Times New Roman" w:cs="Times New Roman"/>
          <w:b/>
          <w:bCs/>
          <w:sz w:val="28"/>
          <w:szCs w:val="28"/>
        </w:rPr>
        <w:t xml:space="preserve">, ma </w:t>
      </w:r>
      <w:r w:rsidR="009656C9" w:rsidRPr="00FD065C">
        <w:rPr>
          <w:rFonts w:ascii="Times New Roman" w:hAnsi="Times New Roman" w:cs="Times New Roman"/>
          <w:b/>
          <w:bCs/>
          <w:sz w:val="28"/>
          <w:szCs w:val="28"/>
          <w:u w:val="single"/>
        </w:rPr>
        <w:t>negativa</w:t>
      </w:r>
      <w:r w:rsidR="009656C9">
        <w:rPr>
          <w:rFonts w:ascii="Times New Roman" w:hAnsi="Times New Roman" w:cs="Times New Roman"/>
          <w:b/>
          <w:bCs/>
          <w:sz w:val="28"/>
          <w:szCs w:val="28"/>
        </w:rPr>
        <w:t xml:space="preserve"> per quelli non ammessi</w:t>
      </w:r>
      <w:r w:rsidRPr="00AF3FDC">
        <w:rPr>
          <w:rFonts w:ascii="Times New Roman" w:hAnsi="Times New Roman" w:cs="Times New Roman"/>
          <w:sz w:val="28"/>
          <w:szCs w:val="28"/>
        </w:rPr>
        <w:t>.</w:t>
      </w:r>
    </w:p>
    <w:p w14:paraId="182F97A3" w14:textId="77777777" w:rsidR="00876A55" w:rsidRDefault="00876A55" w:rsidP="00876A5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="00AF3FDC">
        <w:rPr>
          <w:rFonts w:ascii="Times New Roman" w:hAnsi="Times New Roman" w:cs="Times New Roman"/>
          <w:sz w:val="28"/>
          <w:szCs w:val="28"/>
        </w:rPr>
        <w:t>CNF,</w:t>
      </w:r>
      <w:r w:rsidR="008D035B" w:rsidRPr="00AF3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infatti, con parere </w:t>
      </w:r>
      <w:r w:rsidR="008D035B" w:rsidRPr="00AF3FDC">
        <w:rPr>
          <w:rFonts w:ascii="Times New Roman" w:hAnsi="Times New Roman" w:cs="Times New Roman"/>
          <w:sz w:val="28"/>
          <w:szCs w:val="28"/>
        </w:rPr>
        <w:t xml:space="preserve">adottato nella seduta del 29 aprile 2022 e diffuso in data 10 maggio 2022 ai COA, </w:t>
      </w:r>
      <w:r>
        <w:rPr>
          <w:rFonts w:ascii="Times New Roman" w:hAnsi="Times New Roman" w:cs="Times New Roman"/>
          <w:sz w:val="28"/>
          <w:szCs w:val="28"/>
        </w:rPr>
        <w:t xml:space="preserve">ha chiarito che </w:t>
      </w:r>
      <w:r w:rsidR="008D035B" w:rsidRPr="00AF3FDC">
        <w:rPr>
          <w:rFonts w:ascii="Times New Roman" w:hAnsi="Times New Roman" w:cs="Times New Roman"/>
          <w:sz w:val="28"/>
          <w:szCs w:val="28"/>
        </w:rPr>
        <w:t xml:space="preserve">l’assunzione alle dipendenze dell’Ufficio del </w:t>
      </w:r>
      <w:r w:rsidR="00AF3FDC">
        <w:rPr>
          <w:rFonts w:ascii="Times New Roman" w:hAnsi="Times New Roman" w:cs="Times New Roman"/>
          <w:sz w:val="28"/>
          <w:szCs w:val="28"/>
        </w:rPr>
        <w:t>P</w:t>
      </w:r>
      <w:r w:rsidR="008D035B" w:rsidRPr="00AF3FDC">
        <w:rPr>
          <w:rFonts w:ascii="Times New Roman" w:hAnsi="Times New Roman" w:cs="Times New Roman"/>
          <w:sz w:val="28"/>
          <w:szCs w:val="28"/>
        </w:rPr>
        <w:t xml:space="preserve">rocesso comporta la </w:t>
      </w:r>
      <w:r w:rsidR="008D035B" w:rsidRPr="00876A55">
        <w:rPr>
          <w:rFonts w:ascii="Times New Roman" w:hAnsi="Times New Roman" w:cs="Times New Roman"/>
          <w:sz w:val="28"/>
          <w:szCs w:val="28"/>
          <w:u w:val="single"/>
        </w:rPr>
        <w:t>sospensione per i soli praticanti ammessi al patrocinio sostitutivo</w:t>
      </w:r>
      <w:r w:rsidR="008D035B" w:rsidRPr="00AF3FDC">
        <w:rPr>
          <w:rFonts w:ascii="Times New Roman" w:hAnsi="Times New Roman" w:cs="Times New Roman"/>
          <w:sz w:val="28"/>
          <w:szCs w:val="28"/>
        </w:rPr>
        <w:t>. I praticanti non abilitati, invece, prosegu</w:t>
      </w:r>
      <w:r>
        <w:rPr>
          <w:rFonts w:ascii="Times New Roman" w:hAnsi="Times New Roman" w:cs="Times New Roman"/>
          <w:sz w:val="28"/>
          <w:szCs w:val="28"/>
        </w:rPr>
        <w:t>ono</w:t>
      </w:r>
      <w:r w:rsidR="008D035B" w:rsidRPr="00AF3FDC">
        <w:rPr>
          <w:rFonts w:ascii="Times New Roman" w:hAnsi="Times New Roman" w:cs="Times New Roman"/>
          <w:sz w:val="28"/>
          <w:szCs w:val="28"/>
        </w:rPr>
        <w:t xml:space="preserve"> il tirocinio, con tutti i relativi doveri</w:t>
      </w:r>
      <w:r>
        <w:rPr>
          <w:rFonts w:ascii="Times New Roman" w:hAnsi="Times New Roman" w:cs="Times New Roman"/>
          <w:sz w:val="28"/>
          <w:szCs w:val="28"/>
        </w:rPr>
        <w:t>, tra i quali</w:t>
      </w:r>
      <w:r w:rsidR="008D035B" w:rsidRPr="00AF3FDC">
        <w:rPr>
          <w:rFonts w:ascii="Times New Roman" w:hAnsi="Times New Roman" w:cs="Times New Roman"/>
          <w:sz w:val="28"/>
          <w:szCs w:val="28"/>
        </w:rPr>
        <w:t xml:space="preserve"> anche quello di frequentare il corso obbligatorio;</w:t>
      </w:r>
    </w:p>
    <w:p w14:paraId="0F7A1815" w14:textId="77777777" w:rsidR="00876A55" w:rsidRDefault="00876A55" w:rsidP="00876A5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A55">
        <w:rPr>
          <w:rFonts w:ascii="Times New Roman" w:hAnsi="Times New Roman" w:cs="Times New Roman"/>
          <w:b/>
          <w:bCs/>
          <w:sz w:val="28"/>
          <w:szCs w:val="28"/>
        </w:rPr>
        <w:t xml:space="preserve">si </w:t>
      </w:r>
      <w:r w:rsidR="004844AF" w:rsidRPr="00876A55">
        <w:rPr>
          <w:rFonts w:ascii="Times New Roman" w:hAnsi="Times New Roman" w:cs="Times New Roman"/>
          <w:b/>
          <w:bCs/>
          <w:sz w:val="28"/>
          <w:szCs w:val="28"/>
        </w:rPr>
        <w:t>chiede di sapere se la frequenza del corso possa essere espletata anche in un tempo diverso rispetto all’espletamento della pratica forense, ferma restando la necessità dell’iscrizione del Registro</w:t>
      </w:r>
      <w:r w:rsidR="004844AF" w:rsidRPr="00876A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513A58" w14:textId="672D163D" w:rsidR="00876A55" w:rsidRPr="00876A55" w:rsidRDefault="00876A55" w:rsidP="00876A55">
      <w:pPr>
        <w:pStyle w:val="Paragrafoelenc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A55">
        <w:rPr>
          <w:rFonts w:ascii="Times New Roman" w:hAnsi="Times New Roman" w:cs="Times New Roman"/>
          <w:b/>
          <w:bCs/>
          <w:sz w:val="28"/>
          <w:szCs w:val="28"/>
        </w:rPr>
        <w:t>La risposta è negativa.</w:t>
      </w:r>
    </w:p>
    <w:p w14:paraId="186784B4" w14:textId="77777777" w:rsidR="00876A55" w:rsidRDefault="00876A55" w:rsidP="00876A5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4844AF" w:rsidRPr="00876A55">
        <w:rPr>
          <w:rFonts w:ascii="Times New Roman" w:hAnsi="Times New Roman" w:cs="Times New Roman"/>
          <w:sz w:val="28"/>
          <w:szCs w:val="28"/>
        </w:rPr>
        <w:t>a frequenza del corso</w:t>
      </w:r>
      <w:r>
        <w:rPr>
          <w:rFonts w:ascii="Times New Roman" w:hAnsi="Times New Roman" w:cs="Times New Roman"/>
          <w:sz w:val="28"/>
          <w:szCs w:val="28"/>
        </w:rPr>
        <w:t>, infatti,</w:t>
      </w:r>
      <w:r w:rsidR="004844AF" w:rsidRPr="00876A55">
        <w:rPr>
          <w:rFonts w:ascii="Times New Roman" w:hAnsi="Times New Roman" w:cs="Times New Roman"/>
          <w:sz w:val="28"/>
          <w:szCs w:val="28"/>
        </w:rPr>
        <w:t xml:space="preserve"> deve essere contestuale allo svolgimento de</w:t>
      </w:r>
      <w:r>
        <w:rPr>
          <w:rFonts w:ascii="Times New Roman" w:hAnsi="Times New Roman" w:cs="Times New Roman"/>
          <w:sz w:val="28"/>
          <w:szCs w:val="28"/>
        </w:rPr>
        <w:t>l</w:t>
      </w:r>
      <w:r w:rsidR="004844AF" w:rsidRPr="00876A55">
        <w:rPr>
          <w:rFonts w:ascii="Times New Roman" w:hAnsi="Times New Roman" w:cs="Times New Roman"/>
          <w:sz w:val="28"/>
          <w:szCs w:val="28"/>
        </w:rPr>
        <w:t>la pratica forense, salvi i periodi di eventuale interruzione della medesima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4AF" w:rsidRPr="00876A55">
        <w:rPr>
          <w:rFonts w:ascii="Times New Roman" w:hAnsi="Times New Roman" w:cs="Times New Roman"/>
          <w:sz w:val="28"/>
          <w:szCs w:val="28"/>
        </w:rPr>
        <w:t xml:space="preserve"> secondo quanto previsto dalla legge professionale forense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20D98" w14:textId="759C0891" w:rsidR="008D035B" w:rsidRDefault="00876A55" w:rsidP="00876A5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Pertanto, </w:t>
      </w:r>
      <w:r w:rsidR="004844AF" w:rsidRPr="00876A55">
        <w:rPr>
          <w:rFonts w:ascii="Times New Roman" w:hAnsi="Times New Roman" w:cs="Times New Roman"/>
          <w:sz w:val="28"/>
          <w:szCs w:val="28"/>
        </w:rPr>
        <w:t>- essendo peraltro propedeutica rispetto all’espletamento dell’esame di Stato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844AF" w:rsidRPr="00876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detta frequenza </w:t>
      </w:r>
      <w:r w:rsidR="004844AF" w:rsidRPr="00876A55">
        <w:rPr>
          <w:rFonts w:ascii="Times New Roman" w:hAnsi="Times New Roman" w:cs="Times New Roman"/>
          <w:sz w:val="28"/>
          <w:szCs w:val="28"/>
        </w:rPr>
        <w:t xml:space="preserve">deve necessariamente avvenire nel corso dei primi diciotto mesi di iscrizione. </w:t>
      </w:r>
    </w:p>
    <w:p w14:paraId="7E018700" w14:textId="1BA51399" w:rsidR="00810C23" w:rsidRDefault="00810C23" w:rsidP="00876A5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26ED8D28" w14:textId="77777777" w:rsidR="00810C23" w:rsidRPr="00876A55" w:rsidRDefault="00810C23" w:rsidP="00876A5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76489CC8" w14:textId="1B61E0B1" w:rsidR="00C85E5C" w:rsidRPr="006B2DC7" w:rsidRDefault="00C85E5C" w:rsidP="006B2D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E5C" w:rsidRPr="006B2DC7" w:rsidSect="00942B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D6B"/>
    <w:multiLevelType w:val="hybridMultilevel"/>
    <w:tmpl w:val="363E7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31E8"/>
    <w:multiLevelType w:val="hybridMultilevel"/>
    <w:tmpl w:val="A5F63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24B8"/>
    <w:multiLevelType w:val="hybridMultilevel"/>
    <w:tmpl w:val="1868B0B8"/>
    <w:lvl w:ilvl="0" w:tplc="9C84F84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5047872">
    <w:abstractNumId w:val="1"/>
  </w:num>
  <w:num w:numId="2" w16cid:durableId="794910349">
    <w:abstractNumId w:val="0"/>
  </w:num>
  <w:num w:numId="3" w16cid:durableId="182874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B4"/>
    <w:rsid w:val="00016810"/>
    <w:rsid w:val="00135E3E"/>
    <w:rsid w:val="001936CE"/>
    <w:rsid w:val="002454FA"/>
    <w:rsid w:val="004844AF"/>
    <w:rsid w:val="004A305C"/>
    <w:rsid w:val="004A4685"/>
    <w:rsid w:val="004A6B83"/>
    <w:rsid w:val="004D56BC"/>
    <w:rsid w:val="005F21B4"/>
    <w:rsid w:val="006B2DC7"/>
    <w:rsid w:val="006D6E94"/>
    <w:rsid w:val="00723B02"/>
    <w:rsid w:val="007F4E3B"/>
    <w:rsid w:val="00810C23"/>
    <w:rsid w:val="00876A55"/>
    <w:rsid w:val="008A0D2F"/>
    <w:rsid w:val="008D035B"/>
    <w:rsid w:val="008F6F53"/>
    <w:rsid w:val="00942B47"/>
    <w:rsid w:val="009554B0"/>
    <w:rsid w:val="009656C9"/>
    <w:rsid w:val="00A22849"/>
    <w:rsid w:val="00AE3209"/>
    <w:rsid w:val="00AF3FDC"/>
    <w:rsid w:val="00B70E70"/>
    <w:rsid w:val="00BE35C0"/>
    <w:rsid w:val="00C200EB"/>
    <w:rsid w:val="00C85E5C"/>
    <w:rsid w:val="00D91C38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0FFB"/>
  <w15:docId w15:val="{F51ED39F-048C-6E4F-B3A4-1CA529B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2DC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5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D5E8-0E87-4A4D-9AEB-883C8EC6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Caterina Munno</cp:lastModifiedBy>
  <cp:revision>2</cp:revision>
  <dcterms:created xsi:type="dcterms:W3CDTF">2023-03-17T12:12:00Z</dcterms:created>
  <dcterms:modified xsi:type="dcterms:W3CDTF">2023-03-17T12:12:00Z</dcterms:modified>
</cp:coreProperties>
</file>